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Ex1.xml" ContentType="application/vnd.ms-office.chartex+xml"/>
  <Override PartName="/word/charts/style6.xml" ContentType="application/vnd.ms-office.chartstyle+xml"/>
  <Override PartName="/word/charts/colors6.xml" ContentType="application/vnd.ms-office.chartcolorstyl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7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8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EB69" w14:textId="6AEBCEE1" w:rsidR="00482A60" w:rsidRPr="00CD510F" w:rsidRDefault="00302C0A" w:rsidP="00C97A9C">
      <w:pPr>
        <w:jc w:val="center"/>
        <w:rPr>
          <w:i/>
          <w:sz w:val="56"/>
          <w:szCs w:val="56"/>
          <w:u w:val="single"/>
        </w:rPr>
      </w:pPr>
      <w:r w:rsidRPr="00CD510F">
        <w:rPr>
          <w:i/>
          <w:sz w:val="56"/>
          <w:szCs w:val="56"/>
          <w:u w:val="single"/>
        </w:rPr>
        <w:t>Информационное письмо</w:t>
      </w:r>
    </w:p>
    <w:p w14:paraId="736C8013" w14:textId="5FCCD4EF" w:rsidR="00302C0A" w:rsidRPr="00CD510F" w:rsidRDefault="00C97A9C" w:rsidP="00C97A9C">
      <w:pPr>
        <w:jc w:val="center"/>
        <w:rPr>
          <w:sz w:val="48"/>
          <w:szCs w:val="48"/>
        </w:rPr>
      </w:pPr>
      <w:r w:rsidRPr="00CD510F">
        <w:rPr>
          <w:sz w:val="48"/>
          <w:szCs w:val="48"/>
        </w:rPr>
        <w:t>“</w:t>
      </w:r>
      <w:r w:rsidR="00302C0A" w:rsidRPr="00CD510F">
        <w:rPr>
          <w:sz w:val="48"/>
          <w:szCs w:val="48"/>
        </w:rPr>
        <w:t>РЧА нарушений ритма сердца в Вологодской области</w:t>
      </w:r>
      <w:r w:rsidRPr="00CD510F">
        <w:rPr>
          <w:sz w:val="48"/>
          <w:szCs w:val="48"/>
        </w:rPr>
        <w:t>”</w:t>
      </w:r>
      <w:r w:rsidR="00302C0A" w:rsidRPr="00CD510F">
        <w:rPr>
          <w:sz w:val="48"/>
          <w:szCs w:val="48"/>
        </w:rPr>
        <w:t>.</w:t>
      </w:r>
    </w:p>
    <w:p w14:paraId="2E4D815E" w14:textId="2D38D795" w:rsidR="00302C0A" w:rsidRPr="00C97A9C" w:rsidRDefault="00302C0A">
      <w:pPr>
        <w:rPr>
          <w:sz w:val="28"/>
          <w:szCs w:val="28"/>
        </w:rPr>
      </w:pPr>
      <w:r w:rsidRPr="00C97A9C">
        <w:rPr>
          <w:sz w:val="28"/>
          <w:szCs w:val="28"/>
        </w:rPr>
        <w:t xml:space="preserve">В настоящий момент в ВО имеется </w:t>
      </w:r>
      <w:proofErr w:type="gramStart"/>
      <w:r w:rsidRPr="00C97A9C">
        <w:rPr>
          <w:sz w:val="28"/>
          <w:szCs w:val="28"/>
        </w:rPr>
        <w:t>единственное отделение</w:t>
      </w:r>
      <w:proofErr w:type="gramEnd"/>
      <w:r w:rsidRPr="00C97A9C">
        <w:rPr>
          <w:sz w:val="28"/>
          <w:szCs w:val="28"/>
        </w:rPr>
        <w:t xml:space="preserve"> </w:t>
      </w:r>
      <w:r w:rsidR="00C97A9C">
        <w:rPr>
          <w:sz w:val="28"/>
          <w:szCs w:val="28"/>
        </w:rPr>
        <w:t xml:space="preserve">оказывающее </w:t>
      </w:r>
      <w:r w:rsidRPr="00C97A9C">
        <w:rPr>
          <w:sz w:val="28"/>
          <w:szCs w:val="28"/>
        </w:rPr>
        <w:t>специализированн</w:t>
      </w:r>
      <w:r w:rsidR="00C97A9C">
        <w:rPr>
          <w:sz w:val="28"/>
          <w:szCs w:val="28"/>
        </w:rPr>
        <w:t>ую, в т.ч. хирургическую</w:t>
      </w:r>
      <w:r w:rsidRPr="00C97A9C">
        <w:rPr>
          <w:sz w:val="28"/>
          <w:szCs w:val="28"/>
        </w:rPr>
        <w:t xml:space="preserve"> медицинск</w:t>
      </w:r>
      <w:r w:rsidR="00C97A9C">
        <w:rPr>
          <w:sz w:val="28"/>
          <w:szCs w:val="28"/>
        </w:rPr>
        <w:t>ую</w:t>
      </w:r>
      <w:r w:rsidRPr="00C97A9C">
        <w:rPr>
          <w:sz w:val="28"/>
          <w:szCs w:val="28"/>
        </w:rPr>
        <w:t xml:space="preserve"> помощ</w:t>
      </w:r>
      <w:r w:rsidR="00C97A9C">
        <w:rPr>
          <w:sz w:val="28"/>
          <w:szCs w:val="28"/>
        </w:rPr>
        <w:t>ь</w:t>
      </w:r>
      <w:r w:rsidRPr="00C97A9C">
        <w:rPr>
          <w:sz w:val="28"/>
          <w:szCs w:val="28"/>
        </w:rPr>
        <w:t xml:space="preserve"> пациентам </w:t>
      </w:r>
      <w:proofErr w:type="spellStart"/>
      <w:r w:rsidRPr="00C97A9C">
        <w:rPr>
          <w:sz w:val="28"/>
          <w:szCs w:val="28"/>
        </w:rPr>
        <w:t>аритмологического</w:t>
      </w:r>
      <w:proofErr w:type="spellEnd"/>
      <w:r w:rsidRPr="00C97A9C">
        <w:rPr>
          <w:sz w:val="28"/>
          <w:szCs w:val="28"/>
        </w:rPr>
        <w:t xml:space="preserve"> профиля. Это отделение хирургического лечения сложных нарушений ритма сердца и </w:t>
      </w:r>
      <w:proofErr w:type="spellStart"/>
      <w:r w:rsidRPr="00C97A9C">
        <w:rPr>
          <w:sz w:val="28"/>
          <w:szCs w:val="28"/>
        </w:rPr>
        <w:t>электрокардиостимуляции</w:t>
      </w:r>
      <w:proofErr w:type="spellEnd"/>
      <w:r w:rsidRPr="00C97A9C">
        <w:rPr>
          <w:sz w:val="28"/>
          <w:szCs w:val="28"/>
        </w:rPr>
        <w:t xml:space="preserve"> (</w:t>
      </w:r>
      <w:proofErr w:type="spellStart"/>
      <w:r w:rsidRPr="00C97A9C">
        <w:rPr>
          <w:sz w:val="28"/>
          <w:szCs w:val="28"/>
        </w:rPr>
        <w:t>ОХЛСНРСиЭ</w:t>
      </w:r>
      <w:proofErr w:type="spellEnd"/>
      <w:r w:rsidRPr="00C97A9C">
        <w:rPr>
          <w:sz w:val="28"/>
          <w:szCs w:val="28"/>
        </w:rPr>
        <w:t xml:space="preserve">) входящее в структуру БУЗ ВО ВОКБ (г. Вологда, Пошехонское шоссе, 23, 7 этаж), телефон ординаторской 71-57-33. </w:t>
      </w:r>
    </w:p>
    <w:p w14:paraId="66472D76" w14:textId="1475A39F" w:rsidR="00302C0A" w:rsidRPr="00C97A9C" w:rsidRDefault="00302C0A">
      <w:pPr>
        <w:rPr>
          <w:sz w:val="28"/>
          <w:szCs w:val="28"/>
        </w:rPr>
      </w:pPr>
      <w:r w:rsidRPr="00C97A9C">
        <w:rPr>
          <w:sz w:val="28"/>
          <w:szCs w:val="28"/>
        </w:rPr>
        <w:t xml:space="preserve">В отделении ежегодно выполняется более 300 операций по установке/замены ЭКС. </w:t>
      </w:r>
    </w:p>
    <w:p w14:paraId="3D35F557" w14:textId="77777777" w:rsidR="00A31EB4" w:rsidRDefault="00302C0A" w:rsidP="00C97A9C">
      <w:pPr>
        <w:rPr>
          <w:sz w:val="28"/>
          <w:szCs w:val="28"/>
        </w:rPr>
      </w:pPr>
      <w:r w:rsidRPr="00C97A9C">
        <w:rPr>
          <w:sz w:val="28"/>
          <w:szCs w:val="28"/>
        </w:rPr>
        <w:t xml:space="preserve">В марте 2021 года </w:t>
      </w:r>
      <w:proofErr w:type="spellStart"/>
      <w:r w:rsidRPr="00C97A9C">
        <w:rPr>
          <w:sz w:val="28"/>
          <w:szCs w:val="28"/>
        </w:rPr>
        <w:t>ОХЛСНРСиЭ</w:t>
      </w:r>
      <w:proofErr w:type="spellEnd"/>
      <w:r w:rsidRPr="00C97A9C">
        <w:rPr>
          <w:sz w:val="28"/>
          <w:szCs w:val="28"/>
        </w:rPr>
        <w:t xml:space="preserve"> переместили с Лечебной 17, на Пошехонское шоссе 23 в </w:t>
      </w:r>
      <w:r w:rsidR="00D36D61" w:rsidRPr="00C97A9C">
        <w:rPr>
          <w:sz w:val="28"/>
          <w:szCs w:val="28"/>
        </w:rPr>
        <w:t>отремонтированное</w:t>
      </w:r>
      <w:r w:rsidRPr="00C97A9C">
        <w:rPr>
          <w:sz w:val="28"/>
          <w:szCs w:val="28"/>
        </w:rPr>
        <w:t xml:space="preserve"> и </w:t>
      </w:r>
      <w:r w:rsidR="00D36D61" w:rsidRPr="00C97A9C">
        <w:rPr>
          <w:sz w:val="28"/>
          <w:szCs w:val="28"/>
        </w:rPr>
        <w:t>оснащённое</w:t>
      </w:r>
      <w:r w:rsidRPr="00C97A9C">
        <w:rPr>
          <w:sz w:val="28"/>
          <w:szCs w:val="28"/>
        </w:rPr>
        <w:t xml:space="preserve"> отделение</w:t>
      </w:r>
      <w:r w:rsidR="00D36D61" w:rsidRPr="00C97A9C">
        <w:rPr>
          <w:sz w:val="28"/>
          <w:szCs w:val="28"/>
        </w:rPr>
        <w:t xml:space="preserve">. На новой территории у </w:t>
      </w:r>
      <w:proofErr w:type="spellStart"/>
      <w:r w:rsidR="00D36D61" w:rsidRPr="00C97A9C">
        <w:rPr>
          <w:sz w:val="28"/>
          <w:szCs w:val="28"/>
        </w:rPr>
        <w:t>ОХЛСНРСиЭ</w:t>
      </w:r>
      <w:proofErr w:type="spellEnd"/>
      <w:r w:rsidR="00D36D61" w:rsidRPr="00C97A9C">
        <w:rPr>
          <w:sz w:val="28"/>
          <w:szCs w:val="28"/>
        </w:rPr>
        <w:t xml:space="preserve"> появилась современная </w:t>
      </w:r>
      <w:proofErr w:type="spellStart"/>
      <w:r w:rsidR="00D36D61" w:rsidRPr="00C97A9C">
        <w:rPr>
          <w:sz w:val="28"/>
          <w:szCs w:val="28"/>
        </w:rPr>
        <w:t>аритмологическая</w:t>
      </w:r>
      <w:proofErr w:type="spellEnd"/>
      <w:r w:rsidR="00D36D61" w:rsidRPr="00C97A9C">
        <w:rPr>
          <w:sz w:val="28"/>
          <w:szCs w:val="28"/>
        </w:rPr>
        <w:t xml:space="preserve"> операционная. Благодаря этим изменениям удалось значительно увеличить количество и расширить спектр выполняемых внутрисердечных электрофизиологических исс</w:t>
      </w:r>
      <w:r w:rsidR="00CD510F">
        <w:rPr>
          <w:sz w:val="28"/>
          <w:szCs w:val="28"/>
        </w:rPr>
        <w:t>л</w:t>
      </w:r>
      <w:r w:rsidR="00D36D61" w:rsidRPr="00C97A9C">
        <w:rPr>
          <w:sz w:val="28"/>
          <w:szCs w:val="28"/>
        </w:rPr>
        <w:t xml:space="preserve">едований и радиочастотных </w:t>
      </w:r>
      <w:proofErr w:type="spellStart"/>
      <w:r w:rsidR="00D36D61" w:rsidRPr="00C97A9C">
        <w:rPr>
          <w:sz w:val="28"/>
          <w:szCs w:val="28"/>
        </w:rPr>
        <w:t>аблаций</w:t>
      </w:r>
      <w:proofErr w:type="spellEnd"/>
      <w:r w:rsidR="00D36D61" w:rsidRPr="00C97A9C">
        <w:rPr>
          <w:sz w:val="28"/>
          <w:szCs w:val="28"/>
        </w:rPr>
        <w:t xml:space="preserve"> (РЧА) аритмий сердца.</w:t>
      </w:r>
    </w:p>
    <w:p w14:paraId="50BF5A91" w14:textId="09207505" w:rsidR="00C97A9C" w:rsidRPr="00C97A9C" w:rsidRDefault="00D36D61" w:rsidP="00C97A9C">
      <w:r w:rsidRPr="006C4C10">
        <w:rPr>
          <w:sz w:val="28"/>
          <w:szCs w:val="28"/>
        </w:rPr>
        <w:t xml:space="preserve">Данная динамика отражена ниже.  </w:t>
      </w:r>
      <w:r w:rsidR="00C97A9C" w:rsidRPr="00C97A9C">
        <w:rPr>
          <w:noProof/>
        </w:rPr>
        <w:drawing>
          <wp:inline distT="0" distB="0" distL="0" distR="0" wp14:anchorId="32678B68" wp14:editId="1C546DD1">
            <wp:extent cx="5939790" cy="3714750"/>
            <wp:effectExtent l="0" t="0" r="381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280623F" w14:textId="77777777" w:rsidR="00C97A9C" w:rsidRPr="00C97A9C" w:rsidRDefault="00C97A9C" w:rsidP="00C97A9C">
      <w:r w:rsidRPr="00C97A9C">
        <w:rPr>
          <w:noProof/>
        </w:rPr>
        <w:lastRenderedPageBreak/>
        <w:drawing>
          <wp:inline distT="0" distB="0" distL="0" distR="0" wp14:anchorId="649C556D" wp14:editId="19672724">
            <wp:extent cx="5939790" cy="3802330"/>
            <wp:effectExtent l="0" t="0" r="381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45C363" w14:textId="77777777" w:rsidR="00C97A9C" w:rsidRPr="00C97A9C" w:rsidRDefault="00C97A9C" w:rsidP="00C97A9C">
      <w:r w:rsidRPr="00C97A9C">
        <w:rPr>
          <w:noProof/>
        </w:rPr>
        <w:drawing>
          <wp:inline distT="0" distB="0" distL="0" distR="0" wp14:anchorId="218723F4" wp14:editId="079A3312">
            <wp:extent cx="5939790" cy="3575713"/>
            <wp:effectExtent l="0" t="0" r="3810" b="57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9655ECC" w14:textId="77777777" w:rsidR="00C97A9C" w:rsidRPr="00C97A9C" w:rsidRDefault="00C97A9C" w:rsidP="00C97A9C">
      <w:r w:rsidRPr="00C97A9C">
        <w:rPr>
          <w:noProof/>
        </w:rPr>
        <w:lastRenderedPageBreak/>
        <w:drawing>
          <wp:inline distT="0" distB="0" distL="0" distR="0" wp14:anchorId="017C1A03" wp14:editId="6B7D569D">
            <wp:extent cx="5939790" cy="4094329"/>
            <wp:effectExtent l="0" t="0" r="3810" b="19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F27A92" w14:textId="77777777" w:rsidR="00C97A9C" w:rsidRPr="00C97A9C" w:rsidRDefault="00C97A9C" w:rsidP="00C97A9C"/>
    <w:p w14:paraId="5155114C" w14:textId="77777777" w:rsidR="00C97A9C" w:rsidRPr="00C97A9C" w:rsidRDefault="00C97A9C" w:rsidP="00C97A9C"/>
    <w:p w14:paraId="47857DC8" w14:textId="77777777" w:rsidR="00C97A9C" w:rsidRPr="00C97A9C" w:rsidRDefault="00C97A9C" w:rsidP="00C97A9C">
      <w:r w:rsidRPr="00C97A9C">
        <w:rPr>
          <w:noProof/>
        </w:rPr>
        <w:drawing>
          <wp:inline distT="0" distB="0" distL="0" distR="0" wp14:anchorId="144F0BE9" wp14:editId="2589C072">
            <wp:extent cx="5939790" cy="3234519"/>
            <wp:effectExtent l="0" t="0" r="381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7F226E" w14:textId="77777777" w:rsidR="005C65FD" w:rsidRDefault="005C65FD" w:rsidP="005C65FD">
      <w:pPr>
        <w:rPr>
          <w:sz w:val="28"/>
          <w:szCs w:val="28"/>
        </w:rPr>
      </w:pPr>
    </w:p>
    <w:p w14:paraId="2AF8D0C4" w14:textId="266DB32A" w:rsidR="005C65FD" w:rsidRPr="005C65FD" w:rsidRDefault="005C65FD" w:rsidP="005C65FD">
      <w:pPr>
        <w:rPr>
          <w:sz w:val="28"/>
          <w:szCs w:val="28"/>
        </w:rPr>
      </w:pPr>
      <w:r w:rsidRPr="005C65FD">
        <w:rPr>
          <w:sz w:val="28"/>
          <w:szCs w:val="28"/>
        </w:rPr>
        <w:t xml:space="preserve">В </w:t>
      </w:r>
      <w:proofErr w:type="spellStart"/>
      <w:r w:rsidRPr="005C65FD">
        <w:rPr>
          <w:sz w:val="28"/>
          <w:szCs w:val="28"/>
        </w:rPr>
        <w:t>ОХЛСНРСиЭ</w:t>
      </w:r>
      <w:proofErr w:type="spellEnd"/>
      <w:r w:rsidRPr="005C65FD">
        <w:rPr>
          <w:sz w:val="28"/>
          <w:szCs w:val="28"/>
        </w:rPr>
        <w:t xml:space="preserve"> БУЗ ВО ВОКБ выполняются РЧА различных аритмий сердца (ПАВУРТ, синдром </w:t>
      </w:r>
      <w:r w:rsidRPr="005C65FD">
        <w:rPr>
          <w:sz w:val="28"/>
          <w:szCs w:val="28"/>
          <w:lang w:val="en-US"/>
        </w:rPr>
        <w:t>WPW</w:t>
      </w:r>
      <w:r w:rsidRPr="005C65FD">
        <w:rPr>
          <w:sz w:val="28"/>
          <w:szCs w:val="28"/>
        </w:rPr>
        <w:t>, КТИ зависимое трепетание предсердий, желудочковая экстрасистолия).</w:t>
      </w:r>
    </w:p>
    <w:p w14:paraId="5068459B" w14:textId="77777777" w:rsidR="005C65FD" w:rsidRPr="005C65FD" w:rsidRDefault="005C65FD" w:rsidP="005C65FD">
      <w:pPr>
        <w:rPr>
          <w:sz w:val="28"/>
          <w:szCs w:val="28"/>
        </w:rPr>
      </w:pPr>
      <w:r w:rsidRPr="005C65FD">
        <w:rPr>
          <w:sz w:val="28"/>
          <w:szCs w:val="28"/>
        </w:rPr>
        <w:lastRenderedPageBreak/>
        <w:t>К настоящему моменту РЧА п/п фибрилляции предсердий не выполняется (пациенты с данной аритмией направляются в федеральные клиники).</w:t>
      </w:r>
    </w:p>
    <w:p w14:paraId="67372E15" w14:textId="77777777" w:rsidR="00C97A9C" w:rsidRPr="00C97A9C" w:rsidRDefault="00C97A9C" w:rsidP="00C97A9C"/>
    <w:p w14:paraId="4AEFBFF5" w14:textId="77777777" w:rsidR="00C97A9C" w:rsidRPr="00C97A9C" w:rsidRDefault="00C97A9C" w:rsidP="00C97A9C">
      <w:r w:rsidRPr="00C97A9C">
        <w:rPr>
          <w:noProof/>
        </w:rPr>
        <mc:AlternateContent>
          <mc:Choice Requires="cx1">
            <w:drawing>
              <wp:inline distT="0" distB="0" distL="0" distR="0" wp14:anchorId="0EEAF0E8" wp14:editId="6628B312">
                <wp:extent cx="5915025" cy="5572125"/>
                <wp:effectExtent l="0" t="0" r="9525" b="9525"/>
                <wp:docPr id="4" name="Диаграмма 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0EEAF0E8" wp14:editId="6628B312">
                <wp:extent cx="5915025" cy="5572125"/>
                <wp:effectExtent l="0" t="0" r="9525" b="9525"/>
                <wp:docPr id="4" name="Диаграмма 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Диаграмма 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557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6DBAEBD" w14:textId="77777777" w:rsidR="00C97A9C" w:rsidRDefault="00C97A9C" w:rsidP="00C97A9C">
      <w:pPr>
        <w:rPr>
          <w:i/>
          <w:iCs/>
        </w:rPr>
      </w:pPr>
    </w:p>
    <w:p w14:paraId="6AA3FC28" w14:textId="3D68C1B2" w:rsidR="00C97A9C" w:rsidRPr="00C97A9C" w:rsidRDefault="00C97A9C" w:rsidP="00C97A9C">
      <w:r w:rsidRPr="00C97A9C">
        <w:rPr>
          <w:i/>
          <w:iCs/>
        </w:rPr>
        <w:t xml:space="preserve">Таблица №15 </w:t>
      </w:r>
      <w:r w:rsidRPr="00C97A9C">
        <w:t xml:space="preserve">Послеоперационные осложнения при </w:t>
      </w:r>
      <w:proofErr w:type="spellStart"/>
      <w:r w:rsidRPr="00C97A9C">
        <w:t>катетерных</w:t>
      </w:r>
      <w:proofErr w:type="spellEnd"/>
      <w:r w:rsidRPr="00C97A9C">
        <w:t xml:space="preserve"> процедурах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858"/>
        <w:gridCol w:w="1026"/>
        <w:gridCol w:w="1026"/>
        <w:gridCol w:w="1026"/>
        <w:gridCol w:w="1026"/>
        <w:gridCol w:w="1621"/>
      </w:tblGrid>
      <w:tr w:rsidR="00C97A9C" w:rsidRPr="00C97A9C" w14:paraId="198D2DCA" w14:textId="77777777" w:rsidTr="0012528B">
        <w:trPr>
          <w:trHeight w:val="639"/>
        </w:trPr>
        <w:tc>
          <w:tcPr>
            <w:tcW w:w="2761" w:type="dxa"/>
            <w:tcBorders>
              <w:tl2br w:val="single" w:sz="4" w:space="0" w:color="auto"/>
            </w:tcBorders>
            <w:vAlign w:val="center"/>
          </w:tcPr>
          <w:p w14:paraId="300D88C9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Года</w:t>
            </w:r>
          </w:p>
          <w:p w14:paraId="12456356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Осложнения</w:t>
            </w:r>
          </w:p>
        </w:tc>
        <w:tc>
          <w:tcPr>
            <w:tcW w:w="858" w:type="dxa"/>
          </w:tcPr>
          <w:p w14:paraId="0B008554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2017 г.</w:t>
            </w:r>
          </w:p>
        </w:tc>
        <w:tc>
          <w:tcPr>
            <w:tcW w:w="1026" w:type="dxa"/>
            <w:vAlign w:val="center"/>
          </w:tcPr>
          <w:p w14:paraId="2E07AC00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2018 г.</w:t>
            </w:r>
          </w:p>
        </w:tc>
        <w:tc>
          <w:tcPr>
            <w:tcW w:w="1026" w:type="dxa"/>
            <w:vAlign w:val="center"/>
          </w:tcPr>
          <w:p w14:paraId="775E5696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2019 г.</w:t>
            </w:r>
          </w:p>
        </w:tc>
        <w:tc>
          <w:tcPr>
            <w:tcW w:w="1026" w:type="dxa"/>
            <w:vAlign w:val="center"/>
          </w:tcPr>
          <w:p w14:paraId="792CA97B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2020 г.</w:t>
            </w:r>
          </w:p>
        </w:tc>
        <w:tc>
          <w:tcPr>
            <w:tcW w:w="1026" w:type="dxa"/>
            <w:vAlign w:val="center"/>
          </w:tcPr>
          <w:p w14:paraId="416ED097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2021 г.</w:t>
            </w:r>
          </w:p>
        </w:tc>
        <w:tc>
          <w:tcPr>
            <w:tcW w:w="1621" w:type="dxa"/>
            <w:vAlign w:val="center"/>
          </w:tcPr>
          <w:p w14:paraId="534502E7" w14:textId="777369CF" w:rsidR="00C97A9C" w:rsidRPr="00C97A9C" w:rsidRDefault="00C97A9C" w:rsidP="00C97A9C">
            <w:pPr>
              <w:spacing w:after="160" w:line="259" w:lineRule="auto"/>
            </w:pPr>
            <w:r w:rsidRPr="00C97A9C">
              <w:t xml:space="preserve">на </w:t>
            </w:r>
            <w:r w:rsidR="00A31EB4">
              <w:t>11</w:t>
            </w:r>
            <w:r w:rsidRPr="00C97A9C">
              <w:t>.2022 г.</w:t>
            </w:r>
          </w:p>
        </w:tc>
      </w:tr>
      <w:tr w:rsidR="00C97A9C" w:rsidRPr="00C97A9C" w14:paraId="61092C25" w14:textId="77777777" w:rsidTr="0012528B">
        <w:trPr>
          <w:cantSplit/>
          <w:trHeight w:val="489"/>
        </w:trPr>
        <w:tc>
          <w:tcPr>
            <w:tcW w:w="2761" w:type="dxa"/>
            <w:vAlign w:val="center"/>
          </w:tcPr>
          <w:p w14:paraId="58225800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Подкожные гематомы в местах пункций, не требующих хирургической ревизии</w:t>
            </w:r>
          </w:p>
        </w:tc>
        <w:tc>
          <w:tcPr>
            <w:tcW w:w="858" w:type="dxa"/>
            <w:vAlign w:val="center"/>
          </w:tcPr>
          <w:p w14:paraId="3896EBFD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3</w:t>
            </w:r>
          </w:p>
        </w:tc>
        <w:tc>
          <w:tcPr>
            <w:tcW w:w="1026" w:type="dxa"/>
            <w:vAlign w:val="center"/>
          </w:tcPr>
          <w:p w14:paraId="10E829A5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2</w:t>
            </w:r>
          </w:p>
        </w:tc>
        <w:tc>
          <w:tcPr>
            <w:tcW w:w="1026" w:type="dxa"/>
            <w:vAlign w:val="center"/>
          </w:tcPr>
          <w:p w14:paraId="35926586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3</w:t>
            </w:r>
          </w:p>
        </w:tc>
        <w:tc>
          <w:tcPr>
            <w:tcW w:w="1026" w:type="dxa"/>
            <w:vAlign w:val="center"/>
          </w:tcPr>
          <w:p w14:paraId="4C4DA390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5988BC01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5</w:t>
            </w:r>
          </w:p>
        </w:tc>
        <w:tc>
          <w:tcPr>
            <w:tcW w:w="1621" w:type="dxa"/>
            <w:vAlign w:val="center"/>
          </w:tcPr>
          <w:p w14:paraId="6DA15365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7</w:t>
            </w:r>
          </w:p>
        </w:tc>
      </w:tr>
      <w:tr w:rsidR="00C97A9C" w:rsidRPr="00C97A9C" w14:paraId="0B8848ED" w14:textId="77777777" w:rsidTr="0012528B">
        <w:trPr>
          <w:trHeight w:val="1550"/>
        </w:trPr>
        <w:tc>
          <w:tcPr>
            <w:tcW w:w="2761" w:type="dxa"/>
            <w:vAlign w:val="center"/>
          </w:tcPr>
          <w:p w14:paraId="37EF7B5B" w14:textId="77777777" w:rsidR="00C97A9C" w:rsidRPr="00C97A9C" w:rsidRDefault="00C97A9C" w:rsidP="00C97A9C">
            <w:pPr>
              <w:spacing w:after="160" w:line="259" w:lineRule="auto"/>
            </w:pPr>
            <w:r w:rsidRPr="00C97A9C">
              <w:lastRenderedPageBreak/>
              <w:t>Пульсирующие гематомы, артериовенозные фистулы, требующих хирургической ревизии</w:t>
            </w:r>
          </w:p>
        </w:tc>
        <w:tc>
          <w:tcPr>
            <w:tcW w:w="858" w:type="dxa"/>
            <w:vAlign w:val="center"/>
          </w:tcPr>
          <w:p w14:paraId="795C2BD2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600A085B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7BEF68A4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2A8E56C3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31A341FE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621" w:type="dxa"/>
            <w:vAlign w:val="center"/>
          </w:tcPr>
          <w:p w14:paraId="5F278E3B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</w:tr>
      <w:tr w:rsidR="00C97A9C" w:rsidRPr="00C97A9C" w14:paraId="04346701" w14:textId="77777777" w:rsidTr="0012528B">
        <w:trPr>
          <w:trHeight w:val="325"/>
        </w:trPr>
        <w:tc>
          <w:tcPr>
            <w:tcW w:w="2761" w:type="dxa"/>
            <w:vAlign w:val="center"/>
          </w:tcPr>
          <w:p w14:paraId="06625743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Тампонада сердца</w:t>
            </w:r>
          </w:p>
        </w:tc>
        <w:tc>
          <w:tcPr>
            <w:tcW w:w="858" w:type="dxa"/>
            <w:vAlign w:val="center"/>
          </w:tcPr>
          <w:p w14:paraId="05BA4A6F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56C6346D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0CD62AF8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0F3B18C1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6931617A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621" w:type="dxa"/>
            <w:vAlign w:val="center"/>
          </w:tcPr>
          <w:p w14:paraId="26757C75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</w:tr>
      <w:tr w:rsidR="00C97A9C" w:rsidRPr="00C97A9C" w14:paraId="01267196" w14:textId="77777777" w:rsidTr="0012528B">
        <w:trPr>
          <w:trHeight w:val="219"/>
        </w:trPr>
        <w:tc>
          <w:tcPr>
            <w:tcW w:w="2761" w:type="dxa"/>
            <w:vAlign w:val="center"/>
          </w:tcPr>
          <w:p w14:paraId="69604450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Гемо- и пневмоторакс</w:t>
            </w:r>
          </w:p>
        </w:tc>
        <w:tc>
          <w:tcPr>
            <w:tcW w:w="858" w:type="dxa"/>
            <w:vAlign w:val="center"/>
          </w:tcPr>
          <w:p w14:paraId="2D299EAF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30B96F73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54F55A61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63991FA4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045FBFB5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621" w:type="dxa"/>
            <w:vAlign w:val="center"/>
          </w:tcPr>
          <w:p w14:paraId="684A3029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</w:tr>
      <w:tr w:rsidR="00C97A9C" w:rsidRPr="00C97A9C" w14:paraId="4181C211" w14:textId="77777777" w:rsidTr="0012528B">
        <w:trPr>
          <w:trHeight w:val="141"/>
        </w:trPr>
        <w:tc>
          <w:tcPr>
            <w:tcW w:w="2761" w:type="dxa"/>
            <w:vAlign w:val="center"/>
          </w:tcPr>
          <w:p w14:paraId="3AE02F0E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 xml:space="preserve">АВ-блокада </w:t>
            </w:r>
            <w:r w:rsidRPr="00C97A9C">
              <w:rPr>
                <w:lang w:val="en-US"/>
              </w:rPr>
              <w:t>II</w:t>
            </w:r>
            <w:r w:rsidRPr="00C97A9C">
              <w:t>-</w:t>
            </w:r>
            <w:r w:rsidRPr="00C97A9C">
              <w:rPr>
                <w:lang w:val="en-US"/>
              </w:rPr>
              <w:t>III</w:t>
            </w:r>
            <w:r w:rsidRPr="00C97A9C">
              <w:t xml:space="preserve"> степеней</w:t>
            </w:r>
          </w:p>
        </w:tc>
        <w:tc>
          <w:tcPr>
            <w:tcW w:w="858" w:type="dxa"/>
            <w:vAlign w:val="center"/>
          </w:tcPr>
          <w:p w14:paraId="457A0254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74B83870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5A5A1E6A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4E4DC0EB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17EECD3E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621" w:type="dxa"/>
            <w:vAlign w:val="center"/>
          </w:tcPr>
          <w:p w14:paraId="3F447D25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</w:tr>
      <w:tr w:rsidR="00C97A9C" w:rsidRPr="00C97A9C" w14:paraId="129BEEAA" w14:textId="77777777" w:rsidTr="0012528B">
        <w:trPr>
          <w:trHeight w:val="254"/>
        </w:trPr>
        <w:tc>
          <w:tcPr>
            <w:tcW w:w="2761" w:type="dxa"/>
            <w:vAlign w:val="center"/>
          </w:tcPr>
          <w:p w14:paraId="29FEE6E9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Смертельные исходы</w:t>
            </w:r>
          </w:p>
        </w:tc>
        <w:tc>
          <w:tcPr>
            <w:tcW w:w="858" w:type="dxa"/>
            <w:vAlign w:val="center"/>
          </w:tcPr>
          <w:p w14:paraId="32ED3F3A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529F71F4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49E38E55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39D833E9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026" w:type="dxa"/>
            <w:vAlign w:val="center"/>
          </w:tcPr>
          <w:p w14:paraId="364C541A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  <w:tc>
          <w:tcPr>
            <w:tcW w:w="1621" w:type="dxa"/>
            <w:vAlign w:val="center"/>
          </w:tcPr>
          <w:p w14:paraId="294336D9" w14:textId="77777777" w:rsidR="00C97A9C" w:rsidRPr="00C97A9C" w:rsidRDefault="00C97A9C" w:rsidP="00C97A9C">
            <w:pPr>
              <w:spacing w:after="160" w:line="259" w:lineRule="auto"/>
            </w:pPr>
            <w:r w:rsidRPr="00C97A9C">
              <w:t>0</w:t>
            </w:r>
          </w:p>
        </w:tc>
      </w:tr>
    </w:tbl>
    <w:p w14:paraId="031F9C58" w14:textId="77777777" w:rsidR="00C97A9C" w:rsidRPr="00C97A9C" w:rsidRDefault="00C97A9C" w:rsidP="00C97A9C"/>
    <w:p w14:paraId="6EBD925D" w14:textId="77777777" w:rsidR="00C97A9C" w:rsidRPr="00C97A9C" w:rsidRDefault="00C97A9C" w:rsidP="00C97A9C">
      <w:r w:rsidRPr="00C97A9C">
        <w:rPr>
          <w:noProof/>
        </w:rPr>
        <w:drawing>
          <wp:inline distT="0" distB="0" distL="0" distR="0" wp14:anchorId="426A9B9F" wp14:editId="55C44112">
            <wp:extent cx="5905500" cy="22288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A4F50B" w14:textId="77777777" w:rsidR="00C97A9C" w:rsidRPr="00C97A9C" w:rsidRDefault="00C97A9C" w:rsidP="00C97A9C"/>
    <w:p w14:paraId="4859901F" w14:textId="77777777" w:rsidR="00C97A9C" w:rsidRPr="00C97A9C" w:rsidRDefault="00C97A9C" w:rsidP="00C97A9C"/>
    <w:p w14:paraId="2EFAC91C" w14:textId="77777777" w:rsidR="00C97A9C" w:rsidRPr="00C97A9C" w:rsidRDefault="00C97A9C" w:rsidP="00C97A9C">
      <w:r w:rsidRPr="00C97A9C">
        <w:rPr>
          <w:noProof/>
        </w:rPr>
        <w:drawing>
          <wp:inline distT="0" distB="0" distL="0" distR="0" wp14:anchorId="66F16101" wp14:editId="4F8F73D8">
            <wp:extent cx="5905500" cy="22288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01F476" w14:textId="6FC60239" w:rsidR="00C97A9C" w:rsidRDefault="00BA49B0" w:rsidP="00C97A9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A3714C7" wp14:editId="33CF19B4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943225" cy="3305175"/>
            <wp:effectExtent l="0" t="0" r="9525" b="9525"/>
            <wp:wrapTight wrapText="bothSides">
              <wp:wrapPolygon edited="0">
                <wp:start x="0" y="0"/>
                <wp:lineTo x="0" y="21538"/>
                <wp:lineTo x="21530" y="21538"/>
                <wp:lineTo x="2153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61B5D98B" w14:textId="77777777" w:rsidR="005C65FD" w:rsidRDefault="005C65FD" w:rsidP="00BA49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7DB3841" w14:textId="77777777" w:rsidR="005C65FD" w:rsidRDefault="005C65FD" w:rsidP="00BA49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BFF9B19" w14:textId="77777777" w:rsidR="005C65FD" w:rsidRDefault="005C65FD" w:rsidP="00BA49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482159A" w14:textId="100A08C8" w:rsidR="00BA49B0" w:rsidRPr="00BA49B0" w:rsidRDefault="00BA49B0" w:rsidP="00BA49B0">
      <w:pPr>
        <w:jc w:val="center"/>
        <w:rPr>
          <w:rFonts w:ascii="Times New Roman" w:hAnsi="Times New Roman" w:cs="Times New Roman"/>
          <w:b/>
          <w:sz w:val="28"/>
        </w:rPr>
      </w:pPr>
      <w:r w:rsidRPr="00BA49B0">
        <w:rPr>
          <w:rFonts w:ascii="Times New Roman" w:hAnsi="Times New Roman" w:cs="Times New Roman"/>
          <w:b/>
          <w:bCs/>
          <w:sz w:val="28"/>
        </w:rPr>
        <w:t>Тяжелых осложнений и осложнений, потребовавших дополнительных оперативных вмешательств не было.</w:t>
      </w:r>
    </w:p>
    <w:p w14:paraId="1A50297D" w14:textId="77777777" w:rsidR="00BA49B0" w:rsidRPr="00BA49B0" w:rsidRDefault="00BA49B0" w:rsidP="00BA49B0">
      <w:pPr>
        <w:jc w:val="center"/>
        <w:rPr>
          <w:b/>
        </w:rPr>
      </w:pPr>
    </w:p>
    <w:p w14:paraId="1BC0F32D" w14:textId="77777777" w:rsidR="005C65FD" w:rsidRDefault="005C65FD">
      <w:pPr>
        <w:rPr>
          <w:sz w:val="28"/>
          <w:szCs w:val="28"/>
        </w:rPr>
      </w:pPr>
    </w:p>
    <w:p w14:paraId="62F8D982" w14:textId="77777777" w:rsidR="005C65FD" w:rsidRDefault="005C65FD">
      <w:pPr>
        <w:rPr>
          <w:sz w:val="28"/>
          <w:szCs w:val="28"/>
        </w:rPr>
      </w:pPr>
    </w:p>
    <w:p w14:paraId="17991920" w14:textId="77777777" w:rsidR="005C65FD" w:rsidRDefault="005C65FD">
      <w:pPr>
        <w:rPr>
          <w:sz w:val="28"/>
          <w:szCs w:val="28"/>
        </w:rPr>
      </w:pPr>
    </w:p>
    <w:p w14:paraId="076515FE" w14:textId="3ADFD5C8" w:rsidR="005C65FD" w:rsidRDefault="00235AE5">
      <w:pPr>
        <w:rPr>
          <w:sz w:val="28"/>
          <w:szCs w:val="28"/>
        </w:rPr>
      </w:pPr>
      <w:r>
        <w:rPr>
          <w:sz w:val="28"/>
          <w:szCs w:val="28"/>
        </w:rPr>
        <w:t xml:space="preserve">Острая эффективность </w:t>
      </w:r>
      <w:proofErr w:type="gramStart"/>
      <w:r>
        <w:rPr>
          <w:sz w:val="28"/>
          <w:szCs w:val="28"/>
        </w:rPr>
        <w:t>( эффективность</w:t>
      </w:r>
      <w:proofErr w:type="gramEnd"/>
      <w:r>
        <w:rPr>
          <w:sz w:val="28"/>
          <w:szCs w:val="28"/>
        </w:rPr>
        <w:t xml:space="preserve"> на момент окончания операции) РЧА аритмий сердца проводимых в </w:t>
      </w:r>
      <w:proofErr w:type="spellStart"/>
      <w:r>
        <w:rPr>
          <w:sz w:val="28"/>
          <w:szCs w:val="28"/>
        </w:rPr>
        <w:t>ОХЛСНРСиЭ</w:t>
      </w:r>
      <w:proofErr w:type="spellEnd"/>
      <w:r>
        <w:rPr>
          <w:sz w:val="28"/>
          <w:szCs w:val="28"/>
        </w:rPr>
        <w:t xml:space="preserve"> БУЗ ВО ВОКБ в 2022 году составила 94 %. Подобную эффективность показывают ведущие </w:t>
      </w:r>
      <w:bookmarkStart w:id="0" w:name="_GoBack"/>
      <w:bookmarkEnd w:id="0"/>
      <w:r>
        <w:rPr>
          <w:sz w:val="28"/>
          <w:szCs w:val="28"/>
        </w:rPr>
        <w:t xml:space="preserve">федеральные клиники РФ. </w:t>
      </w:r>
    </w:p>
    <w:p w14:paraId="701C59C7" w14:textId="583CA044" w:rsidR="006C4C10" w:rsidRPr="00B43887" w:rsidRDefault="006C4C10">
      <w:pPr>
        <w:rPr>
          <w:sz w:val="28"/>
          <w:szCs w:val="28"/>
        </w:rPr>
      </w:pPr>
      <w:r w:rsidRPr="00B43887">
        <w:rPr>
          <w:sz w:val="28"/>
          <w:szCs w:val="28"/>
        </w:rPr>
        <w:t>Отбор пациентов на РЧА аритмий сердца осуществляется в ВОКП (ул. Лечебная 17, кабинет № 45). Прием кардиохирурга проходит с 12 часов 30 минут до 15 ч 30 минут</w:t>
      </w:r>
      <w:r w:rsidR="007E075B" w:rsidRPr="00B43887">
        <w:rPr>
          <w:sz w:val="28"/>
          <w:szCs w:val="28"/>
        </w:rPr>
        <w:t xml:space="preserve"> в рабочи</w:t>
      </w:r>
      <w:r w:rsidR="00A31EB4">
        <w:rPr>
          <w:sz w:val="28"/>
          <w:szCs w:val="28"/>
        </w:rPr>
        <w:t>е</w:t>
      </w:r>
      <w:r w:rsidR="007E075B" w:rsidRPr="00B43887">
        <w:rPr>
          <w:sz w:val="28"/>
          <w:szCs w:val="28"/>
        </w:rPr>
        <w:t xml:space="preserve"> дни; прием </w:t>
      </w:r>
      <w:proofErr w:type="spellStart"/>
      <w:r w:rsidR="007E075B" w:rsidRPr="00B43887">
        <w:rPr>
          <w:sz w:val="28"/>
          <w:szCs w:val="28"/>
        </w:rPr>
        <w:t>аритмолога</w:t>
      </w:r>
      <w:proofErr w:type="spellEnd"/>
      <w:r w:rsidR="007E075B" w:rsidRPr="00B43887">
        <w:rPr>
          <w:sz w:val="28"/>
          <w:szCs w:val="28"/>
        </w:rPr>
        <w:t xml:space="preserve"> проходит с 9 ч до 11 часов 30 минут по вторникам и четвергам.</w:t>
      </w:r>
      <w:r w:rsidRPr="00B43887">
        <w:rPr>
          <w:sz w:val="28"/>
          <w:szCs w:val="28"/>
        </w:rPr>
        <w:t xml:space="preserve"> </w:t>
      </w:r>
    </w:p>
    <w:p w14:paraId="4E03C68F" w14:textId="4F5952CC" w:rsidR="007E075B" w:rsidRPr="00B43887" w:rsidRDefault="007E075B" w:rsidP="00CD510F">
      <w:pPr>
        <w:rPr>
          <w:sz w:val="28"/>
          <w:szCs w:val="28"/>
        </w:rPr>
      </w:pPr>
      <w:r w:rsidRPr="00B43887">
        <w:rPr>
          <w:sz w:val="28"/>
          <w:szCs w:val="28"/>
        </w:rPr>
        <w:t xml:space="preserve">Тел ординаторской 71-57-33 </w:t>
      </w:r>
    </w:p>
    <w:p w14:paraId="3813377C" w14:textId="7AF8029E" w:rsidR="00CD510F" w:rsidRDefault="007E075B" w:rsidP="00CD510F">
      <w:pPr>
        <w:ind w:left="7088"/>
        <w:rPr>
          <w:sz w:val="28"/>
          <w:szCs w:val="28"/>
        </w:rPr>
      </w:pPr>
      <w:r w:rsidRPr="00B43887">
        <w:rPr>
          <w:sz w:val="28"/>
          <w:szCs w:val="28"/>
        </w:rPr>
        <w:t xml:space="preserve">                                                                                                                       Зав</w:t>
      </w:r>
      <w:r w:rsidR="00CD510F">
        <w:rPr>
          <w:sz w:val="28"/>
          <w:szCs w:val="28"/>
        </w:rPr>
        <w:t xml:space="preserve"> </w:t>
      </w:r>
      <w:proofErr w:type="spellStart"/>
      <w:r w:rsidRPr="00B43887">
        <w:rPr>
          <w:sz w:val="28"/>
          <w:szCs w:val="28"/>
        </w:rPr>
        <w:t>ОХЛСНРСиЭ</w:t>
      </w:r>
      <w:proofErr w:type="spellEnd"/>
      <w:r w:rsidRPr="00B43887">
        <w:rPr>
          <w:sz w:val="28"/>
          <w:szCs w:val="28"/>
        </w:rPr>
        <w:t xml:space="preserve"> </w:t>
      </w:r>
    </w:p>
    <w:p w14:paraId="30CA331A" w14:textId="038EA5AC" w:rsidR="007E075B" w:rsidRPr="00B43887" w:rsidRDefault="007E075B" w:rsidP="00CD510F">
      <w:pPr>
        <w:ind w:left="7088"/>
        <w:rPr>
          <w:sz w:val="28"/>
          <w:szCs w:val="28"/>
        </w:rPr>
      </w:pPr>
      <w:r w:rsidRPr="00B43887">
        <w:rPr>
          <w:sz w:val="28"/>
          <w:szCs w:val="28"/>
        </w:rPr>
        <w:t>БУЗ ВО ВОКБ</w:t>
      </w:r>
    </w:p>
    <w:p w14:paraId="3725611F" w14:textId="607B7302" w:rsidR="007E075B" w:rsidRPr="00B43887" w:rsidRDefault="00CD510F" w:rsidP="00CD5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E075B" w:rsidRPr="00B43887">
        <w:rPr>
          <w:sz w:val="28"/>
          <w:szCs w:val="28"/>
        </w:rPr>
        <w:t xml:space="preserve">Куренков А.С. </w:t>
      </w:r>
    </w:p>
    <w:sectPr w:rsidR="007E075B" w:rsidRPr="00B4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60"/>
    <w:rsid w:val="00235AE5"/>
    <w:rsid w:val="00302C0A"/>
    <w:rsid w:val="00482A60"/>
    <w:rsid w:val="005C65FD"/>
    <w:rsid w:val="006C4C10"/>
    <w:rsid w:val="007E075B"/>
    <w:rsid w:val="00A31EB4"/>
    <w:rsid w:val="00B43887"/>
    <w:rsid w:val="00BA49B0"/>
    <w:rsid w:val="00C97A9C"/>
    <w:rsid w:val="00CD510F"/>
    <w:rsid w:val="00D0371D"/>
    <w:rsid w:val="00D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B1EC"/>
  <w15:chartTrackingRefBased/>
  <w15:docId w15:val="{2CC77862-75EE-4BFB-8827-636DA43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6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microsoft.com/office/2014/relationships/chartEx" Target="charts/chartEx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1" baseline="0">
                <a:solidFill>
                  <a:schemeClr val="tx1"/>
                </a:solidFill>
              </a:rPr>
              <a:t>Диаграмма №1 </a:t>
            </a:r>
            <a:r>
              <a:rPr lang="ru-RU" sz="1400" b="0" baseline="0">
                <a:solidFill>
                  <a:schemeClr val="tx1"/>
                </a:solidFill>
              </a:rPr>
              <a:t>Динамика количества инвазивного ЭФИ сердца \ РЧА субстрата аритмии в ОХЛСНРСиЭ</a:t>
            </a:r>
          </a:p>
        </c:rich>
      </c:tx>
      <c:layout>
        <c:manualLayout>
          <c:xMode val="edge"/>
          <c:yMode val="edge"/>
          <c:x val="0.24010057594628767"/>
          <c:y val="2.12202568755560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519350010690613E-2"/>
          <c:y val="0.11692307692307694"/>
          <c:w val="0.95296129997861878"/>
          <c:h val="0.6698577293222962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процедур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до 11.2022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14</c:v>
                </c:pt>
                <c:pt idx="2">
                  <c:v>25</c:v>
                </c:pt>
                <c:pt idx="3">
                  <c:v>34</c:v>
                </c:pt>
                <c:pt idx="4">
                  <c:v>68</c:v>
                </c:pt>
                <c:pt idx="5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3-4B2F-9F0C-A495C4E485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2648991"/>
        <c:axId val="1232650655"/>
        <c:axId val="0"/>
      </c:bar3DChart>
      <c:catAx>
        <c:axId val="1232648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2650655"/>
        <c:crosses val="autoZero"/>
        <c:auto val="1"/>
        <c:lblAlgn val="ctr"/>
        <c:lblOffset val="100"/>
        <c:noMultiLvlLbl val="0"/>
      </c:catAx>
      <c:valAx>
        <c:axId val="12326506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32648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657533347138533"/>
          <c:y val="0.88676036990703266"/>
          <c:w val="0.36684933305722928"/>
          <c:h val="6.65106581303505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1" baseline="0">
                <a:solidFill>
                  <a:sysClr val="windowText" lastClr="000000"/>
                </a:solidFill>
              </a:rPr>
              <a:t>Диаграмма №2 </a:t>
            </a:r>
            <a:r>
              <a:rPr lang="ru-RU" sz="1400" b="0" baseline="0">
                <a:solidFill>
                  <a:sysClr val="windowText" lastClr="000000"/>
                </a:solidFill>
              </a:rPr>
              <a:t>Динамика количества РЧА ПАВУРТ в ОХЛСНРСиЭ</a:t>
            </a:r>
          </a:p>
        </c:rich>
      </c:tx>
      <c:layout>
        <c:manualLayout>
          <c:xMode val="edge"/>
          <c:yMode val="edge"/>
          <c:x val="0.25720555777224446"/>
          <c:y val="2.1220255435332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процедур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89000"/>
                  </a:schemeClr>
                </a:gs>
                <a:gs pos="23000">
                  <a:schemeClr val="accent2">
                    <a:lumMod val="89000"/>
                  </a:schemeClr>
                </a:gs>
                <a:gs pos="69000">
                  <a:schemeClr val="accent2">
                    <a:lumMod val="75000"/>
                  </a:schemeClr>
                </a:gs>
                <a:gs pos="97000">
                  <a:schemeClr val="accent2">
                    <a:lumMod val="70000"/>
                  </a:schemeClr>
                </a:gs>
              </a:gsLst>
              <a:path path="circle">
                <a:fillToRect l="50000" t="50000" r="50000" b="50000"/>
              </a:path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до 11.2022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9</c:v>
                </c:pt>
                <c:pt idx="2">
                  <c:v>17</c:v>
                </c:pt>
                <c:pt idx="3">
                  <c:v>21</c:v>
                </c:pt>
                <c:pt idx="4">
                  <c:v>31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67-44F1-9A71-1A9432108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2648991"/>
        <c:axId val="1232650655"/>
        <c:axId val="0"/>
      </c:bar3DChart>
      <c:catAx>
        <c:axId val="1232648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2650655"/>
        <c:crosses val="autoZero"/>
        <c:auto val="1"/>
        <c:lblAlgn val="ctr"/>
        <c:lblOffset val="100"/>
        <c:noMultiLvlLbl val="0"/>
      </c:catAx>
      <c:valAx>
        <c:axId val="12326506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32648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1" baseline="0">
                <a:solidFill>
                  <a:sysClr val="windowText" lastClr="000000"/>
                </a:solidFill>
              </a:rPr>
              <a:t>Диаграмма №</a:t>
            </a:r>
            <a:r>
              <a:rPr lang="en-US" sz="1400" b="0" i="1" baseline="0">
                <a:solidFill>
                  <a:sysClr val="windowText" lastClr="000000"/>
                </a:solidFill>
              </a:rPr>
              <a:t>3</a:t>
            </a:r>
            <a:r>
              <a:rPr lang="ru-RU" sz="1400" b="0" i="1" baseline="0">
                <a:solidFill>
                  <a:sysClr val="windowText" lastClr="000000"/>
                </a:solidFill>
              </a:rPr>
              <a:t> </a:t>
            </a:r>
            <a:r>
              <a:rPr lang="ru-RU" sz="1400" b="0" baseline="0">
                <a:solidFill>
                  <a:sysClr val="windowText" lastClr="000000"/>
                </a:solidFill>
              </a:rPr>
              <a:t>Динамика количества РЧА при синдроме </a:t>
            </a:r>
            <a:r>
              <a:rPr lang="en-US" sz="1400" b="0" baseline="0">
                <a:solidFill>
                  <a:sysClr val="windowText" lastClr="000000"/>
                </a:solidFill>
              </a:rPr>
              <a:t>WPW</a:t>
            </a:r>
            <a:r>
              <a:rPr lang="ru-RU" sz="1400" b="0" baseline="0">
                <a:solidFill>
                  <a:sysClr val="windowText" lastClr="000000"/>
                </a:solidFill>
              </a:rPr>
              <a:t> в ОХЛСНРСиЭ</a:t>
            </a:r>
          </a:p>
        </c:rich>
      </c:tx>
      <c:layout>
        <c:manualLayout>
          <c:xMode val="edge"/>
          <c:yMode val="edge"/>
          <c:x val="0.23803720333547146"/>
          <c:y val="2.1220255435332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519350010690613E-2"/>
          <c:y val="0.17095547102260014"/>
          <c:w val="0.95296129997861878"/>
          <c:h val="0.6304917691956664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процедур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5524909129784058E-3"/>
                  <c:y val="-8.52424080980287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0" i="0" u="none" strike="noStrike" kern="120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9-4AC9-B774-F8C3DE5A7BC5}"/>
                </c:ext>
              </c:extLst>
            </c:dLbl>
            <c:dLbl>
              <c:idx val="1"/>
              <c:layout>
                <c:manualLayout>
                  <c:x val="4.276245456489183E-3"/>
                  <c:y val="-7.34925672289961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0" i="0" u="none" strike="noStrike" kern="120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B9-4AC9-B774-F8C3DE5A7BC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68C179D4-4ACF-46ED-B81E-B85BE434975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2A7-4E25-8055-7822B5151B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до 11.2022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9</c:v>
                </c:pt>
                <c:pt idx="4">
                  <c:v>11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B9-4AC9-B774-F8C3DE5A7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2648991"/>
        <c:axId val="1232650655"/>
        <c:axId val="0"/>
      </c:bar3DChart>
      <c:catAx>
        <c:axId val="1232648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2650655"/>
        <c:crosses val="autoZero"/>
        <c:auto val="1"/>
        <c:lblAlgn val="ctr"/>
        <c:lblOffset val="100"/>
        <c:noMultiLvlLbl val="0"/>
      </c:catAx>
      <c:valAx>
        <c:axId val="12326506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32648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1" baseline="0">
                <a:solidFill>
                  <a:sysClr val="windowText" lastClr="000000"/>
                </a:solidFill>
              </a:rPr>
              <a:t>Диаграмма №</a:t>
            </a:r>
            <a:r>
              <a:rPr lang="en-US" sz="1400" b="0" i="1" baseline="0">
                <a:solidFill>
                  <a:sysClr val="windowText" lastClr="000000"/>
                </a:solidFill>
              </a:rPr>
              <a:t>4</a:t>
            </a:r>
            <a:r>
              <a:rPr lang="ru-RU" sz="1400" b="0" i="1" baseline="0">
                <a:solidFill>
                  <a:sysClr val="windowText" lastClr="000000"/>
                </a:solidFill>
              </a:rPr>
              <a:t> </a:t>
            </a:r>
            <a:r>
              <a:rPr lang="ru-RU" sz="1400" b="0" baseline="0">
                <a:solidFill>
                  <a:sysClr val="windowText" lastClr="000000"/>
                </a:solidFill>
              </a:rPr>
              <a:t>Динамика количества РЧА при трепетании предсердий в ОХЛСНРСиЭ</a:t>
            </a:r>
          </a:p>
        </c:rich>
      </c:tx>
      <c:layout>
        <c:manualLayout>
          <c:xMode val="edge"/>
          <c:yMode val="edge"/>
          <c:x val="0.20364558342971723"/>
          <c:y val="2.1220255435332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519350010690613E-2"/>
          <c:y val="0.1665351223362273"/>
          <c:w val="0.95296129997861878"/>
          <c:h val="0.650881554170369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процедур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40000"/>
                    <a:lumOff val="60000"/>
                  </a:schemeClr>
                </a:gs>
                <a:gs pos="46000">
                  <a:schemeClr val="accent6">
                    <a:lumMod val="95000"/>
                    <a:lumOff val="5000"/>
                  </a:schemeClr>
                </a:gs>
                <a:gs pos="100000">
                  <a:schemeClr val="accent6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8.6862106406080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05-4C4B-83BC-E96310843F44}"/>
                </c:ext>
              </c:extLst>
            </c:dLbl>
            <c:dLbl>
              <c:idx val="1"/>
              <c:layout>
                <c:manualLayout>
                  <c:x val="6.414368184733784E-3"/>
                  <c:y val="-9.0195423417404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05-4C4B-83BC-E96310843F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до 11.2022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21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05-4C4B-83BC-E96310843F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gapDepth val="125"/>
        <c:shape val="box"/>
        <c:axId val="1232648991"/>
        <c:axId val="1232650655"/>
        <c:axId val="0"/>
      </c:bar3DChart>
      <c:catAx>
        <c:axId val="1232648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2650655"/>
        <c:crosses val="autoZero"/>
        <c:auto val="1"/>
        <c:lblAlgn val="ctr"/>
        <c:lblOffset val="100"/>
        <c:noMultiLvlLbl val="0"/>
      </c:catAx>
      <c:valAx>
        <c:axId val="12326506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32648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i="1"/>
              <a:t>Диаграмма №5 </a:t>
            </a:r>
            <a:r>
              <a:rPr lang="ru-RU" sz="1400"/>
              <a:t>Количество процедур под электроанатомическим картированием в ОХЛСНРСиЭ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процедур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3D2899F-6450-41A3-8090-D6422D1E2CB7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6C3-426C-8437-DAF75D6BD41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C3-426C-8437-DAF75D6BD4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11.2022</c:v>
                </c:pt>
                <c:pt idx="1">
                  <c:v>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C3-426C-8437-DAF75D6BD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30021983"/>
        <c:axId val="430030719"/>
      </c:barChart>
      <c:valAx>
        <c:axId val="4300307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0021983"/>
        <c:crosses val="autoZero"/>
        <c:crossBetween val="between"/>
      </c:valAx>
      <c:catAx>
        <c:axId val="430021983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003071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i="1"/>
              <a:t>Диаграмма № 7 </a:t>
            </a:r>
            <a:r>
              <a:rPr lang="ru-RU"/>
              <a:t>Время ионизирующего излучения</a:t>
            </a:r>
            <a:r>
              <a:rPr lang="ru-RU" baseline="0"/>
              <a:t> </a:t>
            </a:r>
            <a:r>
              <a:rPr lang="ru-RU"/>
              <a:t>затраченное на одну РЧА</a:t>
            </a:r>
          </a:p>
        </c:rich>
      </c:tx>
      <c:layout>
        <c:manualLayout>
          <c:xMode val="edge"/>
          <c:yMode val="edge"/>
          <c:x val="0.31653763440860211"/>
          <c:y val="3.41880341880341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97849462365592E-2"/>
          <c:y val="0.29743589743589743"/>
          <c:w val="0.93956989247311828"/>
          <c:h val="0.526400610180137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 ионизирующего излучения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на 11.2022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37</c:v>
                </c:pt>
                <c:pt idx="2">
                  <c:v>34</c:v>
                </c:pt>
                <c:pt idx="3">
                  <c:v>28</c:v>
                </c:pt>
                <c:pt idx="4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1E-4DDA-B8CC-FA26319D5CC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616478431"/>
        <c:axId val="616460959"/>
      </c:lineChart>
      <c:catAx>
        <c:axId val="616478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6460959"/>
        <c:crosses val="autoZero"/>
        <c:auto val="1"/>
        <c:lblAlgn val="ctr"/>
        <c:lblOffset val="100"/>
        <c:noMultiLvlLbl val="0"/>
      </c:catAx>
      <c:valAx>
        <c:axId val="61646095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400" baseline="0"/>
                  <a:t>Время в минутах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616478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i="1"/>
              <a:t>Диаграмма № 8 </a:t>
            </a:r>
            <a:r>
              <a:rPr lang="ru-RU"/>
              <a:t>Время операции затраченное на одну РЧА</a:t>
            </a:r>
          </a:p>
        </c:rich>
      </c:tx>
      <c:layout>
        <c:manualLayout>
          <c:xMode val="edge"/>
          <c:yMode val="edge"/>
          <c:x val="0.22034408602150538"/>
          <c:y val="3.41880341880341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97849462365592E-2"/>
          <c:y val="0.29743589743589743"/>
          <c:w val="0.93956989247311828"/>
          <c:h val="0.526400610180137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 ионизирующего излучения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на 11.2022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</c:v>
                </c:pt>
                <c:pt idx="1">
                  <c:v>95</c:v>
                </c:pt>
                <c:pt idx="2">
                  <c:v>91</c:v>
                </c:pt>
                <c:pt idx="3">
                  <c:v>85</c:v>
                </c:pt>
                <c:pt idx="4">
                  <c:v>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8C-482C-BC8B-D909DADDA1F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616478431"/>
        <c:axId val="616460959"/>
      </c:lineChart>
      <c:catAx>
        <c:axId val="616478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6460959"/>
        <c:crosses val="autoZero"/>
        <c:auto val="1"/>
        <c:lblAlgn val="ctr"/>
        <c:lblOffset val="100"/>
        <c:noMultiLvlLbl val="0"/>
      </c:catAx>
      <c:valAx>
        <c:axId val="61646095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400" baseline="0"/>
                  <a:t>Время в минутах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616478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1F76265-D026-4CD4-B795-F32460D611DC}" type="VALUE">
                      <a:rPr lang="en-US" sz="16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6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6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070-4678-A2DC-7C1A472B8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Острая эффективность РЧА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70-4678-A2DC-7C1A472B85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33273216"/>
        <c:axId val="234155360"/>
      </c:barChart>
      <c:catAx>
        <c:axId val="23327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155360"/>
        <c:crosses val="autoZero"/>
        <c:auto val="1"/>
        <c:lblAlgn val="ctr"/>
        <c:lblOffset val="100"/>
        <c:noMultiLvlLbl val="0"/>
      </c:catAx>
      <c:valAx>
        <c:axId val="234155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27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Лист1!$A$2:$C$12</cx:f>
        <cx:lvl ptCount="11">
          <cx:pt idx="0">ПАВУРТ</cx:pt>
          <cx:pt idx="1">ЭФИ</cx:pt>
          <cx:pt idx="2">ПАВУРТ</cx:pt>
          <cx:pt idx="3">WPW</cx:pt>
          <cx:pt idx="4">ПАВУРТ</cx:pt>
          <cx:pt idx="5">WPW</cx:pt>
          <cx:pt idx="6">ПАВУРТ</cx:pt>
          <cx:pt idx="7">WPW</cx:pt>
          <cx:pt idx="8">ПАВУРТ</cx:pt>
          <cx:pt idx="9">ТП</cx:pt>
          <cx:pt idx="10">ЖЭС</cx:pt>
        </cx:lvl>
        <cx:lvl ptCount="11">
          <cx:pt idx="0">ЭФИ</cx:pt>
          <cx:pt idx="1">ПАВУРТ</cx:pt>
          <cx:pt idx="2">ЭФИ</cx:pt>
          <cx:pt idx="3">ТП</cx:pt>
          <cx:pt idx="4">ЭФИ</cx:pt>
          <cx:pt idx="5">ТП</cx:pt>
          <cx:pt idx="6">ЭФИ</cx:pt>
          <cx:pt idx="7">ТП</cx:pt>
          <cx:pt idx="8">ЭФИ</cx:pt>
          <cx:pt idx="9">WPW</cx:pt>
          <cx:pt idx="10">ПТ</cx:pt>
        </cx:lvl>
        <cx:lvl ptCount="11">
          <cx:pt idx="0">2017</cx:pt>
          <cx:pt idx="1">2018</cx:pt>
          <cx:pt idx="2">2019</cx:pt>
          <cx:pt idx="3">2019</cx:pt>
          <cx:pt idx="4">2020</cx:pt>
          <cx:pt idx="5">2020</cx:pt>
          <cx:pt idx="6">2021</cx:pt>
          <cx:pt idx="7">2021</cx:pt>
          <cx:pt idx="8">2022</cx:pt>
          <cx:pt idx="9">2022</cx:pt>
          <cx:pt idx="10">2022</cx:pt>
        </cx:lvl>
      </cx:strDim>
      <cx:numDim type="size">
        <cx:f>Лист1!$D$2:$D$12</cx:f>
        <cx:lvl ptCount="11" formatCode="Основной">
          <cx:pt idx="0">22</cx:pt>
          <cx:pt idx="1">22</cx:pt>
          <cx:pt idx="2">22</cx:pt>
          <cx:pt idx="3">22</cx:pt>
          <cx:pt idx="4">22</cx:pt>
          <cx:pt idx="5">22</cx:pt>
          <cx:pt idx="6">22</cx:pt>
          <cx:pt idx="7">22</cx:pt>
          <cx:pt idx="8">22</cx:pt>
          <cx:pt idx="9">22</cx:pt>
          <cx:pt idx="10">22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ru-RU" sz="1400" b="0" i="1" u="none" strike="noStrike" cap="non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Calibri" panose="020F0502020204030204" pitchFamily="34" charset="0"/>
                <a:cs typeface="Calibri" panose="020F0502020204030204" pitchFamily="34" charset="0"/>
              </a:rPr>
              <a:t>Диаграмма №6 </a:t>
            </a:r>
            <a:r>
              <a:rPr lang="ru-RU" sz="1400" b="0" i="0" u="none" strike="noStrike" cap="non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Calibri" panose="020F0502020204030204" pitchFamily="34" charset="0"/>
                <a:cs typeface="Calibri" panose="020F0502020204030204" pitchFamily="34" charset="0"/>
              </a:rPr>
              <a:t>Спектр аритмологических процедур в ОХЛСНРСиЭ</a:t>
            </a:r>
            <a:r>
              <a:rPr lang="ru-RU" sz="1400" b="0" i="1" u="none" strike="noStrike" cap="non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Calibri" panose="020F0502020204030204" pitchFamily="34" charset="0"/>
                <a:cs typeface="Calibri" panose="020F0502020204030204" pitchFamily="34" charset="0"/>
              </a:rPr>
              <a:t> </a:t>
            </a:r>
          </a:p>
        </cx:rich>
      </cx:tx>
    </cx:title>
    <cx:plotArea>
      <cx:plotAreaRegion>
        <cx:series layoutId="sunburst" uniqueId="{6B1149C0-0152-4951-9D61-32183A0427B9}">
          <cx:tx>
            <cx:txData>
              <cx:f>Лист1!$D$1</cx:f>
              <cx:v>Ряд 1</cx:v>
            </cx:txData>
          </cx:tx>
          <cx:dataLabels pos="ctr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200" baseline="0"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a:defRPr>
                </a:pPr>
                <a:endParaRPr lang="ru-RU" sz="1200" b="0" i="0" u="none" strike="noStrike" baseline="0">
                  <a:solidFill>
                    <a:sysClr val="window" lastClr="FFFFFF"/>
                  </a:solidFill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latin typeface="Calibri" panose="020F0502020204030204"/>
                </a:endParaRPr>
              </a:p>
            </cx:txPr>
            <cx:visibility seriesName="0" categoryName="1" value="0"/>
          </cx:dataLabels>
          <cx:dataId val="0"/>
        </cx:series>
      </cx:plotAreaRegion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Александр Сергеевич</dc:creator>
  <cp:keywords/>
  <dc:description/>
  <cp:lastModifiedBy>Куренков Александр Сергеевич</cp:lastModifiedBy>
  <cp:revision>7</cp:revision>
  <dcterms:created xsi:type="dcterms:W3CDTF">2022-11-22T08:22:00Z</dcterms:created>
  <dcterms:modified xsi:type="dcterms:W3CDTF">2022-11-25T11:16:00Z</dcterms:modified>
</cp:coreProperties>
</file>